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BC9" w:rsidRPr="0054212B" w:rsidRDefault="00CD4BC9" w:rsidP="0054212B">
      <w:pPr>
        <w:spacing w:line="240" w:lineRule="exact"/>
        <w:rPr>
          <w:rFonts w:ascii="微软雅黑" w:eastAsia="微软雅黑" w:hAnsi="微软雅黑" w:cs="仿宋_GB2312" w:hint="eastAsia"/>
          <w:sz w:val="22"/>
          <w:szCs w:val="22"/>
        </w:rPr>
      </w:pPr>
    </w:p>
    <w:p w:rsidR="00CD4BC9" w:rsidRPr="0054212B" w:rsidRDefault="00206040" w:rsidP="0054212B">
      <w:pPr>
        <w:spacing w:line="600" w:lineRule="exact"/>
        <w:jc w:val="center"/>
        <w:rPr>
          <w:rFonts w:ascii="微软雅黑" w:eastAsia="微软雅黑" w:hAnsi="微软雅黑" w:cs="宋体"/>
          <w:b/>
          <w:bCs/>
          <w:color w:val="7030A0"/>
          <w:sz w:val="40"/>
          <w:szCs w:val="40"/>
        </w:rPr>
      </w:pPr>
      <w:r w:rsidRPr="0054212B">
        <w:rPr>
          <w:rFonts w:ascii="微软雅黑" w:eastAsia="微软雅黑" w:hAnsi="微软雅黑" w:cs="宋体" w:hint="eastAsia"/>
          <w:b/>
          <w:bCs/>
          <w:color w:val="7030A0"/>
          <w:sz w:val="40"/>
          <w:szCs w:val="40"/>
        </w:rPr>
        <w:t>最高人民法院</w:t>
      </w:r>
    </w:p>
    <w:p w:rsidR="00CD4BC9" w:rsidRPr="0054212B" w:rsidRDefault="00206040" w:rsidP="0054212B">
      <w:pPr>
        <w:spacing w:line="600" w:lineRule="exact"/>
        <w:jc w:val="center"/>
        <w:rPr>
          <w:rFonts w:ascii="微软雅黑" w:eastAsia="微软雅黑" w:hAnsi="微软雅黑" w:cs="宋体"/>
          <w:b/>
          <w:bCs/>
          <w:color w:val="7030A0"/>
          <w:sz w:val="40"/>
          <w:szCs w:val="40"/>
        </w:rPr>
      </w:pPr>
      <w:r w:rsidRPr="0054212B">
        <w:rPr>
          <w:rFonts w:ascii="微软雅黑" w:eastAsia="微软雅黑" w:hAnsi="微软雅黑" w:cs="宋体" w:hint="eastAsia"/>
          <w:b/>
          <w:bCs/>
          <w:color w:val="7030A0"/>
          <w:sz w:val="40"/>
          <w:szCs w:val="40"/>
        </w:rPr>
        <w:t>关于审理涉船员纠纷案件若干问题的规定</w:t>
      </w:r>
    </w:p>
    <w:p w:rsidR="00CD4BC9" w:rsidRDefault="00CD4BC9" w:rsidP="0054212B">
      <w:pPr>
        <w:spacing w:line="240" w:lineRule="exact"/>
        <w:rPr>
          <w:rFonts w:ascii="微软雅黑" w:eastAsia="微软雅黑" w:hAnsi="微软雅黑" w:cs="仿宋_GB2312"/>
          <w:sz w:val="22"/>
          <w:szCs w:val="22"/>
        </w:rPr>
      </w:pPr>
    </w:p>
    <w:p w:rsidR="0054212B" w:rsidRDefault="0054212B" w:rsidP="0054212B">
      <w:pPr>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020-09-29</w:t>
      </w:r>
    </w:p>
    <w:p w:rsidR="0054212B" w:rsidRPr="0054212B" w:rsidRDefault="0054212B" w:rsidP="0054212B">
      <w:pPr>
        <w:spacing w:line="240" w:lineRule="exact"/>
        <w:rPr>
          <w:rFonts w:ascii="微软雅黑" w:eastAsia="微软雅黑" w:hAnsi="微软雅黑" w:cs="仿宋_GB2312" w:hint="eastAsia"/>
          <w:sz w:val="22"/>
          <w:szCs w:val="22"/>
        </w:rPr>
      </w:pPr>
    </w:p>
    <w:p w:rsidR="00CD4BC9" w:rsidRPr="0054212B" w:rsidRDefault="00206040" w:rsidP="0054212B">
      <w:pPr>
        <w:spacing w:line="240" w:lineRule="exact"/>
        <w:jc w:val="center"/>
        <w:rPr>
          <w:rFonts w:ascii="微软雅黑" w:eastAsia="微软雅黑" w:hAnsi="微软雅黑" w:cs="仿宋_GB2312"/>
          <w:sz w:val="22"/>
          <w:szCs w:val="22"/>
        </w:rPr>
      </w:pPr>
      <w:r w:rsidRPr="0054212B">
        <w:rPr>
          <w:rFonts w:ascii="微软雅黑" w:eastAsia="微软雅黑" w:hAnsi="微软雅黑" w:cs="仿宋_GB2312" w:hint="eastAsia"/>
          <w:sz w:val="22"/>
          <w:szCs w:val="22"/>
        </w:rPr>
        <w:t>法释〔2020〕11号</w:t>
      </w:r>
      <w:bookmarkStart w:id="0" w:name="_GoBack"/>
      <w:bookmarkEnd w:id="0"/>
    </w:p>
    <w:p w:rsidR="00CD4BC9" w:rsidRPr="0054212B" w:rsidRDefault="00CD4BC9" w:rsidP="0054212B">
      <w:pPr>
        <w:spacing w:line="240" w:lineRule="exact"/>
        <w:rPr>
          <w:rFonts w:ascii="微软雅黑" w:eastAsia="微软雅黑" w:hAnsi="微软雅黑" w:cs="仿宋_GB2312"/>
          <w:sz w:val="22"/>
          <w:szCs w:val="22"/>
        </w:rPr>
      </w:pPr>
    </w:p>
    <w:p w:rsidR="00CD4BC9" w:rsidRPr="0054212B" w:rsidRDefault="00206040" w:rsidP="0054212B">
      <w:pPr>
        <w:spacing w:line="240" w:lineRule="exact"/>
        <w:ind w:leftChars="300" w:left="630" w:rightChars="300" w:right="630"/>
        <w:rPr>
          <w:rFonts w:ascii="微软雅黑" w:eastAsia="微软雅黑" w:hAnsi="微软雅黑" w:cs="仿宋_GB2312"/>
          <w:sz w:val="22"/>
          <w:szCs w:val="22"/>
        </w:rPr>
      </w:pPr>
      <w:r w:rsidRPr="0054212B">
        <w:rPr>
          <w:rFonts w:ascii="微软雅黑" w:eastAsia="微软雅黑" w:hAnsi="微软雅黑" w:cs="楷体_GB2312" w:hint="eastAsia"/>
          <w:sz w:val="22"/>
          <w:szCs w:val="22"/>
        </w:rPr>
        <w:t>（2020年6月8日最高人民法院审判委员会第1803次会议通过，自2020年9月29日起施行）</w:t>
      </w:r>
    </w:p>
    <w:p w:rsidR="00CD4BC9" w:rsidRPr="0054212B" w:rsidRDefault="00CD4BC9" w:rsidP="0054212B">
      <w:pPr>
        <w:spacing w:line="340" w:lineRule="exact"/>
        <w:rPr>
          <w:rFonts w:ascii="微软雅黑" w:eastAsia="微软雅黑" w:hAnsi="微软雅黑" w:cs="仿宋_GB2312"/>
          <w:sz w:val="24"/>
        </w:rPr>
      </w:pP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为正确审理涉船员纠纷案件，根据《中华人民共和国劳动合同法》《中华人民共和国海商法》《中华人民共和国劳动争议调解仲裁法》《中华人民共和国海事诉讼特别程序法》等法律的规定，结合审判实践，制定本规定。</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第一条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船员与船舶所有人之间的劳动争议不涉及船员登船、在船工作、离船遣返，当事人直接向海事法院提起诉讼的，海事法院告知当事人依照《中华人民共和国劳动争议调解仲裁法》的规定处理。</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第二条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船员与船舶所有人之间的劳务合同纠纷，当事人向原告住所地、合同签订地、船员登船</w:t>
      </w:r>
      <w:proofErr w:type="gramStart"/>
      <w:r w:rsidRPr="0054212B">
        <w:rPr>
          <w:rFonts w:ascii="微软雅黑" w:eastAsia="微软雅黑" w:hAnsi="微软雅黑" w:cs="仿宋_GB2312" w:hint="eastAsia"/>
          <w:sz w:val="24"/>
        </w:rPr>
        <w:t>港或者</w:t>
      </w:r>
      <w:proofErr w:type="gramEnd"/>
      <w:r w:rsidRPr="0054212B">
        <w:rPr>
          <w:rFonts w:ascii="微软雅黑" w:eastAsia="微软雅黑" w:hAnsi="微软雅黑" w:cs="仿宋_GB2312" w:hint="eastAsia"/>
          <w:sz w:val="24"/>
        </w:rPr>
        <w:t>离船港所在地、被告住所地海事法院提起诉讼的，海事法院应予受理。</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第三条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船员服务机构仅代理船员办理相关手续，或者仅为船员提供就业信息，且不属于劳务派遣情形，船员服务机构主张其与船员仅成立居间或委托合同关系的，应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第四条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船舶所有人以被挂靠单位的名义对外经营，船舶所有人未与船员签订书面劳动合同，其聘用的船员因工伤亡，船员主张被挂靠单位为承担工伤保险责任的单位的，应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持。船舶所有人与船员成立劳动关系的除外。</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第五条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与船员登船、在船工作、离船遣返无关的劳动争议提交劳动争议仲裁委员会仲裁，仲裁庭根据船员的申请，就船员工资和其他劳动报酬、工伤医疗费、经济补偿或赔偿金裁决先予执行的，移送地方人民法院审查。</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船员申请扣押船舶的，仲裁庭应将扣押船舶申请提交船籍港所在地或者船舶所在地的海事法院审查，或交地方人民法院委托船籍港所在地或者船舶所在地的海事法院审查。</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第六条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具有船舶优先权的海事请求，船员未依照《中华人民共和国海商法》第二十八条的规定请求扣押产生船舶优先权的船舶，仅请求确认其在一定期限内对</w:t>
      </w:r>
      <w:proofErr w:type="gramStart"/>
      <w:r w:rsidRPr="0054212B">
        <w:rPr>
          <w:rFonts w:ascii="微软雅黑" w:eastAsia="微软雅黑" w:hAnsi="微软雅黑" w:cs="仿宋_GB2312" w:hint="eastAsia"/>
          <w:sz w:val="24"/>
        </w:rPr>
        <w:t>该产生</w:t>
      </w:r>
      <w:proofErr w:type="gramEnd"/>
      <w:r w:rsidRPr="0054212B">
        <w:rPr>
          <w:rFonts w:ascii="微软雅黑" w:eastAsia="微软雅黑" w:hAnsi="微软雅黑" w:cs="仿宋_GB2312" w:hint="eastAsia"/>
          <w:sz w:val="24"/>
        </w:rPr>
        <w:t>船舶优先权的船舶享有优先权的，应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前款规定的期限自优先权产生之日起以一年为限。</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第七条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具有船舶优先权的海事请求，船员未申请限制船舶继续营运，仅申请对船舶采取限制处分、限制抵押等保全措施的，应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持。船员主张该保全措施构成《中华人民共和国海商法》第二十八条规定的船舶扣押的，不予支持。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第八条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因登船、在船工作、离船遣返产生的下列工资、其他劳动报酬，船员主张船舶优先权的，应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（一）正常工作时间的报酬或基本工资；</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（二）延长工作时间的加班工资，休息日、法定休假日加班工资；</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（三）在</w:t>
      </w:r>
      <w:proofErr w:type="gramStart"/>
      <w:r w:rsidRPr="0054212B">
        <w:rPr>
          <w:rFonts w:ascii="微软雅黑" w:eastAsia="微软雅黑" w:hAnsi="微软雅黑" w:cs="仿宋_GB2312" w:hint="eastAsia"/>
          <w:sz w:val="24"/>
        </w:rPr>
        <w:t>船服务</w:t>
      </w:r>
      <w:proofErr w:type="gramEnd"/>
      <w:r w:rsidRPr="0054212B">
        <w:rPr>
          <w:rFonts w:ascii="微软雅黑" w:eastAsia="微软雅黑" w:hAnsi="微软雅黑" w:cs="仿宋_GB2312" w:hint="eastAsia"/>
          <w:sz w:val="24"/>
        </w:rPr>
        <w:t>期间的奖金、相关津贴和补贴，以及特殊情况下支付的工资等；</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（四）未按期支付上述款项产生的</w:t>
      </w:r>
      <w:proofErr w:type="gramStart"/>
      <w:r w:rsidRPr="0054212B">
        <w:rPr>
          <w:rFonts w:ascii="微软雅黑" w:eastAsia="微软雅黑" w:hAnsi="微软雅黑" w:cs="仿宋_GB2312" w:hint="eastAsia"/>
          <w:sz w:val="24"/>
        </w:rPr>
        <w:t>孳</w:t>
      </w:r>
      <w:proofErr w:type="gramEnd"/>
      <w:r w:rsidRPr="0054212B">
        <w:rPr>
          <w:rFonts w:ascii="微软雅黑" w:eastAsia="微软雅黑" w:hAnsi="微软雅黑" w:cs="仿宋_GB2312" w:hint="eastAsia"/>
          <w:sz w:val="24"/>
        </w:rPr>
        <w:t>息。</w:t>
      </w:r>
    </w:p>
    <w:p w:rsidR="00CD4BC9"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《中华人民共和国劳动法》和《中华人民共和国劳动合同法》中规定的相关经济补偿金、赔偿金，</w:t>
      </w:r>
      <w:proofErr w:type="gramStart"/>
      <w:r w:rsidRPr="0054212B">
        <w:rPr>
          <w:rFonts w:ascii="微软雅黑" w:eastAsia="微软雅黑" w:hAnsi="微软雅黑" w:cs="仿宋_GB2312" w:hint="eastAsia"/>
          <w:sz w:val="24"/>
        </w:rPr>
        <w:t>未依据</w:t>
      </w:r>
      <w:proofErr w:type="gramEnd"/>
      <w:r w:rsidRPr="0054212B">
        <w:rPr>
          <w:rFonts w:ascii="微软雅黑" w:eastAsia="微软雅黑" w:hAnsi="微软雅黑" w:cs="仿宋_GB2312" w:hint="eastAsia"/>
          <w:sz w:val="24"/>
        </w:rPr>
        <w:t>《中华人民共和国劳动合同法》第八十二条之规定签订书面劳动合同而应支付的双倍工资，以及因未按期支付本款规定的前述费用而产生的</w:t>
      </w:r>
      <w:proofErr w:type="gramStart"/>
      <w:r w:rsidRPr="0054212B">
        <w:rPr>
          <w:rFonts w:ascii="微软雅黑" w:eastAsia="微软雅黑" w:hAnsi="微软雅黑" w:cs="仿宋_GB2312" w:hint="eastAsia"/>
          <w:sz w:val="24"/>
        </w:rPr>
        <w:t>孳</w:t>
      </w:r>
      <w:proofErr w:type="gramEnd"/>
      <w:r w:rsidRPr="0054212B">
        <w:rPr>
          <w:rFonts w:ascii="微软雅黑" w:eastAsia="微软雅黑" w:hAnsi="微软雅黑" w:cs="仿宋_GB2312" w:hint="eastAsia"/>
          <w:sz w:val="24"/>
        </w:rPr>
        <w:t>息，船员主张船舶优先权的，不予支持。</w:t>
      </w:r>
    </w:p>
    <w:p w:rsidR="0054212B" w:rsidRPr="0054212B" w:rsidRDefault="0054212B" w:rsidP="0054212B">
      <w:pPr>
        <w:spacing w:line="340" w:lineRule="exact"/>
        <w:ind w:firstLineChars="200" w:firstLine="480"/>
        <w:rPr>
          <w:rFonts w:ascii="微软雅黑" w:eastAsia="微软雅黑" w:hAnsi="微软雅黑" w:cs="仿宋_GB2312" w:hint="eastAsia"/>
          <w:sz w:val="24"/>
        </w:rPr>
      </w:pP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lastRenderedPageBreak/>
        <w:t>第九条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船员因登船、在船工作、离船遣返而产生的工资、其他劳动报酬、船员遣返费用、社会保险费用，船舶所有人未依约支付，第三方向船员垫付全部或部分费用，船员将相应的海事请求权转让给第三方，第三方就受让的海事请求权请求确认或行使船舶优先权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第十条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船员境外工作期间被遗弃，或遭遇其他突发事件，船舶所有人或其财务担保人、船员外派机构未承担相应责任，船员请求财务担保人、船员外派机构从财务担保费用、海员外派备用金中先行支付紧急救助所需相关费用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第十一条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对于船员工资构成是否涵盖船员登船、在船工作、离船遣返期间的工作日加班工资、休息日加班工资、法定休假日加班工资，当事人有约定并主张依据约定确定双方加班工资的，应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持。但约定标准低于法定最低工资标准的，不予支持。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第十二条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标准工时制度下，船员就休息日加班主张加班工资，船舶所有人举证证明已做补休安排，不应按法定标准支付加班工资的，应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　　综合计算工时工作制下，船员对综合计算周期内的工作时间总量超过标准工作时间总量的部分主张加班工资的，应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船员就法定休假日加班主张加班工资，船舶所有人抗辩对法定休假日加班已做补休安排，不应支付法定休假日加班工资的，对船舶所有人的抗辩不予支持。双方另有约定的除外。</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第十三条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当事人对船员工资或其他劳动报酬的支付标准、支付方式未作约定或约定不明，当事人主张以同工种、同级别、同时期市场的平均标准确定的，应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 xml:space="preserve">第十四条 </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船员因受欺诈、受胁迫在禁渔期、禁渔区或使用禁用的工具、方法捕捞水产品，或者捕捞珍稀、濒危海洋生物，或者进行其他违法作业，对船员主张的登船、在船工作、离船遣返期间的船员工资、其他劳动报酬，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船舶所有人举证证明船员对违法作业自愿且明知的，对船员的上述请求不予支持。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船舶所有人或者船员的行为应受行政处罚或涉嫌刑事犯罪的，依照相关法定程序处理。</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第十五条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船员因劳务受到损害，船舶所有人举证证明船员自身存在过错，并请求判令船员自担相应责任的，对船舶所有人的抗辩予以支持。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第十六条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因第三人的原因遭受工伤，船员对第三人提起民事诉讼请求民事赔偿，第三人以船员已获得工伤保险待遇为由，抗辩其不应承担民事赔偿责任的，对第三人的抗辩不予支持。但船员已经获得医疗费用的，对船员关于医疗费用的诉讼请求不予支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第十七条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船员与船舶所有人之间的劳动合同具有涉外因素，当事人请求依照《中华人民共和国涉外民事关系法律适用法》第四十三条确定应适用的法律的，应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船员与船舶所有人之间的劳务合同，当事人没有选择应适用的法律，当事人主张适用劳务派出地、船舶所有人主营业地、船旗国法律的，应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54212B">
        <w:rPr>
          <w:rFonts w:ascii="微软雅黑" w:eastAsia="微软雅黑" w:hAnsi="微软雅黑" w:cs="仿宋_GB2312" w:hint="eastAsia"/>
          <w:sz w:val="24"/>
        </w:rPr>
        <w:t>船员与船员服务机构之间，以及船员服务机构与船舶所有人之间的居间或委托协议，当事人未选择应适用的法律，当事人主张适用与该合同有最密切联系的法律的，应</w:t>
      </w:r>
      <w:proofErr w:type="gramStart"/>
      <w:r w:rsidRPr="0054212B">
        <w:rPr>
          <w:rFonts w:ascii="微软雅黑" w:eastAsia="微软雅黑" w:hAnsi="微软雅黑" w:cs="仿宋_GB2312" w:hint="eastAsia"/>
          <w:sz w:val="24"/>
        </w:rPr>
        <w:t>予支</w:t>
      </w:r>
      <w:proofErr w:type="gramEnd"/>
      <w:r w:rsidRPr="0054212B">
        <w:rPr>
          <w:rFonts w:ascii="微软雅黑" w:eastAsia="微软雅黑" w:hAnsi="微软雅黑" w:cs="仿宋_GB2312" w:hint="eastAsia"/>
          <w:sz w:val="24"/>
        </w:rPr>
        <w:t>持。</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第十八条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本规定中的船舶所有人，包括光船承租人、船舶管理人、船舶经营人。</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第十九条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本规定施行后尚未终审的案件，适用本规定；本规定施行前已经终审，当事人申请再审或者按照审判监督程序决定再审的案件，不适用本规定。</w:t>
      </w:r>
    </w:p>
    <w:p w:rsidR="00CD4BC9" w:rsidRPr="0054212B" w:rsidRDefault="00206040" w:rsidP="0054212B">
      <w:pPr>
        <w:spacing w:line="340" w:lineRule="exact"/>
        <w:ind w:firstLineChars="200" w:firstLine="480"/>
        <w:rPr>
          <w:rFonts w:ascii="微软雅黑" w:eastAsia="微软雅黑" w:hAnsi="微软雅黑" w:cs="仿宋_GB2312"/>
          <w:sz w:val="24"/>
        </w:rPr>
      </w:pPr>
      <w:r w:rsidRPr="00DE33C3">
        <w:rPr>
          <w:rFonts w:ascii="微软雅黑" w:eastAsia="微软雅黑" w:hAnsi="微软雅黑" w:cs="黑体" w:hint="eastAsia"/>
          <w:b/>
          <w:bCs/>
          <w:sz w:val="24"/>
        </w:rPr>
        <w:t>第二十条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本院以前发布的规定与本规定不一致的，以本规定为准。</w:t>
      </w:r>
    </w:p>
    <w:p w:rsidR="00CD4BC9" w:rsidRPr="0054212B" w:rsidRDefault="00206040" w:rsidP="0054212B">
      <w:pPr>
        <w:spacing w:line="340" w:lineRule="exact"/>
        <w:ind w:firstLineChars="200" w:firstLine="480"/>
        <w:rPr>
          <w:rFonts w:ascii="微软雅黑" w:eastAsia="微软雅黑" w:hAnsi="微软雅黑"/>
          <w:sz w:val="24"/>
        </w:rPr>
      </w:pPr>
      <w:r w:rsidRPr="00DE33C3">
        <w:rPr>
          <w:rFonts w:ascii="微软雅黑" w:eastAsia="微软雅黑" w:hAnsi="微软雅黑" w:cs="黑体" w:hint="eastAsia"/>
          <w:b/>
          <w:bCs/>
          <w:sz w:val="24"/>
        </w:rPr>
        <w:t>第二十一条</w:t>
      </w:r>
      <w:r w:rsidRPr="0054212B">
        <w:rPr>
          <w:rFonts w:ascii="微软雅黑" w:eastAsia="微软雅黑" w:hAnsi="微软雅黑" w:cs="黑体" w:hint="eastAsia"/>
          <w:sz w:val="24"/>
        </w:rPr>
        <w:t xml:space="preserve">  </w:t>
      </w:r>
      <w:r w:rsidRPr="0054212B">
        <w:rPr>
          <w:rFonts w:ascii="微软雅黑" w:eastAsia="微软雅黑" w:hAnsi="微软雅黑" w:cs="仿宋_GB2312" w:hint="eastAsia"/>
          <w:sz w:val="24"/>
        </w:rPr>
        <w:t>本规定自2020年9月29日起实施。</w:t>
      </w:r>
    </w:p>
    <w:p w:rsidR="00CD4BC9" w:rsidRPr="0054212B" w:rsidRDefault="00CD4BC9" w:rsidP="0054212B">
      <w:pPr>
        <w:spacing w:line="240" w:lineRule="exact"/>
        <w:rPr>
          <w:rFonts w:ascii="微软雅黑" w:eastAsia="微软雅黑" w:hAnsi="微软雅黑"/>
          <w:sz w:val="22"/>
          <w:szCs w:val="22"/>
        </w:rPr>
      </w:pPr>
    </w:p>
    <w:sectPr w:rsidR="00CD4BC9" w:rsidRPr="0054212B" w:rsidSect="0054212B">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7BB" w:rsidRDefault="00C647BB">
      <w:r>
        <w:separator/>
      </w:r>
    </w:p>
  </w:endnote>
  <w:endnote w:type="continuationSeparator" w:id="0">
    <w:p w:rsidR="00C647BB" w:rsidRDefault="00C6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BC9" w:rsidRDefault="00206040">
    <w:pPr>
      <w:pStyle w:val="a3"/>
    </w:pPr>
    <w:r>
      <w:rPr>
        <w:noProof/>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D4BC9" w:rsidRDefault="00206040">
                          <w:pPr>
                            <w:pStyle w:val="a3"/>
                          </w:pPr>
                          <w:r>
                            <w:rPr>
                              <w:rFonts w:hint="eastAsia"/>
                            </w:rPr>
                            <w:fldChar w:fldCharType="begin"/>
                          </w:r>
                          <w:r>
                            <w:rPr>
                              <w:rFonts w:hint="eastAsia"/>
                            </w:rPr>
                            <w:instrText xml:space="preserve"> PAGE  \* MERGEFORMAT </w:instrText>
                          </w:r>
                          <w:r>
                            <w:rPr>
                              <w:rFonts w:hint="eastAsia"/>
                            </w:rPr>
                            <w:fldChar w:fldCharType="separate"/>
                          </w:r>
                          <w:r w:rsidR="004F0588">
                            <w:rPr>
                              <w:noProof/>
                            </w:rPr>
                            <w:t>- 4 -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CD4BC9" w:rsidRDefault="00206040">
                    <w:pPr>
                      <w:pStyle w:val="a3"/>
                    </w:pPr>
                    <w:r>
                      <w:rPr>
                        <w:rFonts w:hint="eastAsia"/>
                      </w:rPr>
                      <w:fldChar w:fldCharType="begin"/>
                    </w:r>
                    <w:r>
                      <w:rPr>
                        <w:rFonts w:hint="eastAsia"/>
                      </w:rPr>
                      <w:instrText xml:space="preserve"> PAGE  \* MERGEFORMAT </w:instrText>
                    </w:r>
                    <w:r>
                      <w:rPr>
                        <w:rFonts w:hint="eastAsia"/>
                      </w:rPr>
                      <w:fldChar w:fldCharType="separate"/>
                    </w:r>
                    <w:r w:rsidR="004F0588">
                      <w:rPr>
                        <w:noProof/>
                      </w:rPr>
                      <w:t>- 4 -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BC9" w:rsidRDefault="00206040">
    <w:pPr>
      <w:pStyle w:val="a3"/>
    </w:pPr>
    <w:r>
      <w:rPr>
        <w:noProof/>
        <w:sz w:val="18"/>
      </w:rPr>
      <mc:AlternateContent>
        <mc:Choice Requires="wps">
          <w:drawing>
            <wp:anchor distT="0" distB="0" distL="114300" distR="114300" simplePos="0" relativeHeight="251656192" behindDoc="0" locked="0" layoutInCell="1" allowOverlap="1">
              <wp:simplePos x="0" y="0"/>
              <wp:positionH relativeFrom="margin">
                <wp:posOffset>6175375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D4BC9" w:rsidRDefault="00206040">
                          <w:pPr>
                            <w:pStyle w:val="a3"/>
                          </w:pPr>
                          <w:r>
                            <w:rPr>
                              <w:rFonts w:hint="eastAsia"/>
                            </w:rPr>
                            <w:fldChar w:fldCharType="begin"/>
                          </w:r>
                          <w:r>
                            <w:rPr>
                              <w:rFonts w:hint="eastAsia"/>
                            </w:rPr>
                            <w:instrText xml:space="preserve"> PAGE  \* MERGEFORMAT </w:instrText>
                          </w:r>
                          <w:r>
                            <w:rPr>
                              <w:rFonts w:hint="eastAsia"/>
                            </w:rPr>
                            <w:fldChar w:fldCharType="separate"/>
                          </w:r>
                          <w:r w:rsidR="004F0588">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486.25pt;margin-top:-2.2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" filled="f" stroked="f" strokeweight=".5pt">
              <v:textbox style="mso-fit-shape-to-text:t" inset="0,0,0,0">
                <w:txbxContent>
                  <w:p w:rsidR="00CD4BC9" w:rsidRDefault="00206040">
                    <w:pPr>
                      <w:pStyle w:val="a3"/>
                    </w:pPr>
                    <w:r>
                      <w:rPr>
                        <w:rFonts w:hint="eastAsia"/>
                      </w:rPr>
                      <w:fldChar w:fldCharType="begin"/>
                    </w:r>
                    <w:r>
                      <w:rPr>
                        <w:rFonts w:hint="eastAsia"/>
                      </w:rPr>
                      <w:instrText xml:space="preserve"> PAGE  \* MERGEFORMAT </w:instrText>
                    </w:r>
                    <w:r>
                      <w:rPr>
                        <w:rFonts w:hint="eastAsia"/>
                      </w:rPr>
                      <w:fldChar w:fldCharType="separate"/>
                    </w:r>
                    <w:r w:rsidR="004F0588">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7BB" w:rsidRDefault="00C647BB">
      <w:r>
        <w:separator/>
      </w:r>
    </w:p>
  </w:footnote>
  <w:footnote w:type="continuationSeparator" w:id="0">
    <w:p w:rsidR="00C647BB" w:rsidRDefault="00C647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B85E28"/>
    <w:rsid w:val="00206040"/>
    <w:rsid w:val="004F0588"/>
    <w:rsid w:val="0054212B"/>
    <w:rsid w:val="00C647BB"/>
    <w:rsid w:val="00CD4BC9"/>
    <w:rsid w:val="00DE33C3"/>
    <w:rsid w:val="11CD2E99"/>
    <w:rsid w:val="1E8D6747"/>
    <w:rsid w:val="2D853024"/>
    <w:rsid w:val="4CB85E28"/>
    <w:rsid w:val="5C4B13F1"/>
    <w:rsid w:val="698E76A3"/>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68A916"/>
  <w15:docId w15:val="{D637C3BF-A07C-4ADA-B032-9EA6A9C6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387</Words>
  <Characters>2207</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2021-02-24T02:16:00Z</dcterms:created>
  <dcterms:modified xsi:type="dcterms:W3CDTF">2025-08-30T00:12:00Z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